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30"/>
        <w:gridCol w:w="4605"/>
        <w:gridCol w:w="3825"/>
        <w:tblGridChange w:id="0">
          <w:tblGrid>
            <w:gridCol w:w="4530"/>
            <w:gridCol w:w="4605"/>
            <w:gridCol w:w="382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3"/>
            <w:shd w:fill="05194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 Medium" w:cs="Montserrat Medium" w:eastAsia="Montserrat Medium" w:hAnsi="Montserrat Medium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color w:val="ffffff"/>
                <w:sz w:val="24"/>
                <w:szCs w:val="24"/>
                <w:rtl w:val="0"/>
              </w:rPr>
              <w:t xml:space="preserve">Pathway: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24"/>
                <w:szCs w:val="24"/>
                <w:rtl w:val="0"/>
              </w:rPr>
              <w:t xml:space="preserve"> Medical Laboratory Technology</w:t>
            </w:r>
          </w:p>
          <w:p w:rsidR="00000000" w:rsidDel="00000000" w:rsidP="00000000" w:rsidRDefault="00000000" w:rsidRPr="00000000" w14:paraId="00000004">
            <w:pPr>
              <w:widowControl w:val="0"/>
              <w:jc w:val="center"/>
              <w:rPr>
                <w:rFonts w:ascii="Montserrat Medium" w:cs="Montserrat Medium" w:eastAsia="Montserrat Medium" w:hAnsi="Montserrat Medium"/>
                <w:i w:val="1"/>
                <w:i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i w:val="1"/>
                <w:iCs w:val="1"/>
                <w:color w:val="ffffff"/>
                <w:sz w:val="20"/>
                <w:szCs w:val="20"/>
                <w:rtl w:val="0"/>
              </w:rPr>
              <w:t xml:space="preserve">Department: Medical Laboratory Technology</w:t>
            </w:r>
          </w:p>
          <w:p w:rsidR="00000000" w:rsidDel="00000000" w:rsidP="00000000" w:rsidRDefault="00000000" w:rsidRPr="00000000" w14:paraId="00000005">
            <w:pPr>
              <w:widowControl w:val="0"/>
              <w:jc w:val="center"/>
              <w:rPr>
                <w:rFonts w:ascii="Montserrat Medium" w:cs="Montserrat Medium" w:eastAsia="Montserrat Medium" w:hAnsi="Montserrat Medium"/>
                <w:i w:val="1"/>
                <w:i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b81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bCs w:val="1"/>
                <w:color w:val="051944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051944"/>
                <w:sz w:val="24"/>
                <w:szCs w:val="24"/>
                <w:rtl w:val="0"/>
              </w:rPr>
              <w:t xml:space="preserve">Course Code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  <w:rtl w:val="0"/>
              </w:rPr>
              <w:t xml:space="preserve">Course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  <w:rtl w:val="0"/>
              </w:rPr>
              <w:t xml:space="preserve">Credits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b81d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051944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051944"/>
                <w:rtl w:val="0"/>
              </w:rPr>
              <w:t xml:space="preserve">CHM 131/131A*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  <w:rtl w:val="0"/>
              </w:rPr>
              <w:t xml:space="preserve">Intro to Chemistry &amp; Lab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  <w:rtl w:val="0"/>
              </w:rPr>
              <w:t xml:space="preserve">4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b81d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051944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051944"/>
                <w:rtl w:val="0"/>
              </w:rPr>
              <w:t xml:space="preserve">CHM 132*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  <w:rtl w:val="0"/>
              </w:rPr>
              <w:t xml:space="preserve">Organic and Biochemistry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  <w:rtl w:val="0"/>
              </w:rPr>
              <w:t xml:space="preserve">4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b81d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051944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051944"/>
                <w:rtl w:val="0"/>
              </w:rPr>
              <w:t xml:space="preserve">MLT 110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  <w:rtl w:val="0"/>
              </w:rPr>
              <w:t xml:space="preserve">Intro to MLT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b81d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051944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051944"/>
                <w:rtl w:val="0"/>
              </w:rPr>
              <w:t xml:space="preserve">MLT 116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  <w:rtl w:val="0"/>
              </w:rPr>
              <w:t xml:space="preserve">Anatomy &amp; Med Terminology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  <w:rtl w:val="0"/>
              </w:rPr>
              <w:t xml:space="preserve">5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Montserrat SemiBold" w:cs="Montserrat SemiBold" w:eastAsia="Montserrat SemiBold" w:hAnsi="Montserrat SemiBold"/>
                <w:color w:val="05194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  <w:rtl w:val="0"/>
              </w:rPr>
              <w:t xml:space="preserve">Total Credit Hours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sz w:val="20"/>
                <w:szCs w:val="20"/>
                <w:rtl w:val="0"/>
              </w:rPr>
              <w:t xml:space="preserve">16</w:t>
            </w:r>
          </w:p>
        </w:tc>
      </w:tr>
    </w:tbl>
    <w:p w:rsidR="00000000" w:rsidDel="00000000" w:rsidP="00000000" w:rsidRDefault="00000000" w:rsidRPr="00000000" w14:paraId="0000001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firstLine="0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* Course has math and/or English prerequisites. Students must have either a 2.8 unweighted high school GPA or meet the testing requirements in Reading, English and Math to take any course on the pathway.</w:t>
      </w:r>
    </w:p>
    <w:p w:rsidR="00000000" w:rsidDel="00000000" w:rsidP="00000000" w:rsidRDefault="00000000" w:rsidRPr="00000000" w14:paraId="0000001C">
      <w:pPr>
        <w:ind w:left="0" w:firstLine="0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6" w:type="default"/>
      <w:pgSz w:h="12240" w:w="15840" w:orient="landscape"/>
      <w:pgMar w:bottom="1440" w:top="1440" w:left="1440" w:right="1440" w:header="187.2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3414713" cy="719858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414713" cy="71985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3" Type="http://schemas.openxmlformats.org/officeDocument/2006/relationships/font" Target="fonts/OpenSans-regular.ttf"/><Relationship Id="rId12" Type="http://schemas.openxmlformats.org/officeDocument/2006/relationships/font" Target="fonts/MontserratMedium-bold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MontserratMedium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