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4605"/>
        <w:gridCol w:w="3825"/>
        <w:tblGridChange w:id="0">
          <w:tblGrid>
            <w:gridCol w:w="4530"/>
            <w:gridCol w:w="4605"/>
            <w:gridCol w:w="38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5194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Pathway: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 Environmental Health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  <w:rtl w:val="0"/>
              </w:rPr>
              <w:t xml:space="preserve">Department: Natural Sciences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b8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Course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Credits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BIO 111*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General Biology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ENV 218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Environmental 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CHM 131/131A*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Intro to Chemistry &amp; Lab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BIO 140/140A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Environmental Biology &amp; Lab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Total Credit Hours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* Course has math and/or English prerequisites. Students must have either a 2.8 unweighted high school GPA or meet the testing requirements in Reading, English and Math to take any course on the pathway.</w:t>
      </w:r>
    </w:p>
    <w:sectPr>
      <w:headerReference r:id="rId6" w:type="default"/>
      <w:pgSz w:h="12240" w:w="15840" w:orient="landscape"/>
      <w:pgMar w:bottom="1440" w:top="1440" w:left="1440" w:right="1440" w:header="187.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414713" cy="71985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14713" cy="719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